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A0" w:rsidRPr="00114E49" w:rsidRDefault="006E4E29" w:rsidP="007007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CDC/</w:t>
      </w:r>
      <w:r w:rsidR="007007A0" w:rsidRPr="00114E49">
        <w:rPr>
          <w:b/>
          <w:sz w:val="24"/>
          <w:szCs w:val="24"/>
        </w:rPr>
        <w:t>Office on Smoking and Health</w:t>
      </w:r>
    </w:p>
    <w:p w:rsidR="007007A0" w:rsidRPr="00114E49" w:rsidRDefault="007007A0" w:rsidP="007007A0">
      <w:pPr>
        <w:spacing w:after="0" w:line="240" w:lineRule="auto"/>
        <w:jc w:val="center"/>
        <w:rPr>
          <w:b/>
          <w:sz w:val="24"/>
          <w:szCs w:val="24"/>
        </w:rPr>
      </w:pPr>
      <w:r w:rsidRPr="00114E49">
        <w:rPr>
          <w:b/>
          <w:sz w:val="24"/>
          <w:szCs w:val="24"/>
        </w:rPr>
        <w:t>Bimonthly Point-of-Sale Strategies Webinar</w:t>
      </w:r>
    </w:p>
    <w:p w:rsidR="007007A0" w:rsidRPr="00114E49" w:rsidRDefault="007007A0" w:rsidP="007007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26</w:t>
      </w:r>
      <w:r w:rsidRPr="00114E49">
        <w:rPr>
          <w:b/>
          <w:sz w:val="24"/>
          <w:szCs w:val="24"/>
        </w:rPr>
        <w:t>, 2011</w:t>
      </w:r>
    </w:p>
    <w:p w:rsidR="007007A0" w:rsidRPr="00114E49" w:rsidRDefault="007007A0" w:rsidP="007007A0">
      <w:pPr>
        <w:spacing w:after="0" w:line="240" w:lineRule="auto"/>
        <w:jc w:val="center"/>
        <w:rPr>
          <w:sz w:val="24"/>
          <w:szCs w:val="24"/>
        </w:rPr>
      </w:pPr>
    </w:p>
    <w:p w:rsidR="007007A0" w:rsidRPr="00114E49" w:rsidRDefault="007007A0" w:rsidP="007007A0">
      <w:pPr>
        <w:spacing w:after="0" w:line="240" w:lineRule="auto"/>
        <w:jc w:val="center"/>
        <w:rPr>
          <w:i/>
          <w:sz w:val="24"/>
          <w:szCs w:val="24"/>
        </w:rPr>
      </w:pPr>
      <w:r w:rsidRPr="00114E49">
        <w:rPr>
          <w:i/>
          <w:sz w:val="24"/>
          <w:szCs w:val="24"/>
        </w:rPr>
        <w:t xml:space="preserve">Tobacco Retailer Licensing: </w:t>
      </w:r>
      <w:r>
        <w:rPr>
          <w:i/>
          <w:sz w:val="24"/>
          <w:szCs w:val="24"/>
        </w:rPr>
        <w:t>Critical Concepts for State and Local Governments</w:t>
      </w:r>
    </w:p>
    <w:p w:rsidR="007007A0" w:rsidRDefault="007007A0" w:rsidP="007007A0">
      <w:pPr>
        <w:spacing w:after="0" w:line="240" w:lineRule="auto"/>
        <w:jc w:val="center"/>
        <w:rPr>
          <w:b/>
          <w:u w:val="single"/>
        </w:rPr>
      </w:pPr>
    </w:p>
    <w:p w:rsidR="007007A0" w:rsidRDefault="007007A0" w:rsidP="007007A0">
      <w:pPr>
        <w:spacing w:after="0" w:line="240" w:lineRule="auto"/>
        <w:rPr>
          <w:b/>
        </w:rPr>
      </w:pPr>
    </w:p>
    <w:p w:rsidR="007007A0" w:rsidRDefault="007007A0" w:rsidP="007007A0">
      <w:pPr>
        <w:spacing w:after="0" w:line="240" w:lineRule="auto"/>
        <w:rPr>
          <w:b/>
        </w:rPr>
      </w:pPr>
      <w:r w:rsidRPr="0043727E">
        <w:rPr>
          <w:b/>
        </w:rPr>
        <w:t xml:space="preserve">Welcome – Jerry Spegman, </w:t>
      </w:r>
      <w:r>
        <w:rPr>
          <w:b/>
        </w:rPr>
        <w:t>CDC OSH</w:t>
      </w:r>
    </w:p>
    <w:p w:rsidR="007007A0" w:rsidRPr="00535404" w:rsidRDefault="007007A0" w:rsidP="007007A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Introduction and Agenda Overview</w:t>
      </w:r>
    </w:p>
    <w:p w:rsidR="007007A0" w:rsidRDefault="007007A0" w:rsidP="007007A0">
      <w:pPr>
        <w:spacing w:after="0" w:line="240" w:lineRule="auto"/>
        <w:rPr>
          <w:b/>
        </w:rPr>
      </w:pPr>
    </w:p>
    <w:p w:rsidR="00C8228F" w:rsidRDefault="00C8228F" w:rsidP="007007A0">
      <w:pPr>
        <w:spacing w:after="0" w:line="240" w:lineRule="auto"/>
        <w:rPr>
          <w:b/>
        </w:rPr>
      </w:pPr>
    </w:p>
    <w:p w:rsidR="00C8228F" w:rsidRDefault="00C8228F" w:rsidP="007007A0">
      <w:pPr>
        <w:spacing w:after="0" w:line="240" w:lineRule="auto"/>
        <w:rPr>
          <w:b/>
        </w:rPr>
      </w:pPr>
      <w:r>
        <w:rPr>
          <w:b/>
        </w:rPr>
        <w:t xml:space="preserve">Announcement – Kurt Ribisl, UNC </w:t>
      </w:r>
      <w:proofErr w:type="spellStart"/>
      <w:r>
        <w:rPr>
          <w:b/>
        </w:rPr>
        <w:t>Gillings</w:t>
      </w:r>
      <w:proofErr w:type="spellEnd"/>
      <w:r>
        <w:rPr>
          <w:b/>
        </w:rPr>
        <w:t xml:space="preserve"> School of Global Public Health</w:t>
      </w:r>
    </w:p>
    <w:p w:rsidR="00C8228F" w:rsidRPr="00C8228F" w:rsidRDefault="00C8228F" w:rsidP="00C8228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Counter Tobacco Website: </w:t>
      </w:r>
      <w:hyperlink r:id="rId5" w:history="1">
        <w:r w:rsidRPr="00A63CA2">
          <w:rPr>
            <w:rStyle w:val="Hyperlink"/>
          </w:rPr>
          <w:t>http://www.countertobacco.org</w:t>
        </w:r>
      </w:hyperlink>
    </w:p>
    <w:p w:rsidR="00C8228F" w:rsidRPr="00C8228F" w:rsidRDefault="00C8228F" w:rsidP="00C8228F">
      <w:pPr>
        <w:pStyle w:val="ListParagraph"/>
        <w:spacing w:after="0" w:line="240" w:lineRule="auto"/>
        <w:rPr>
          <w:b/>
        </w:rPr>
      </w:pPr>
    </w:p>
    <w:p w:rsidR="00C8228F" w:rsidRDefault="00C8228F" w:rsidP="007007A0">
      <w:pPr>
        <w:spacing w:after="0" w:line="240" w:lineRule="auto"/>
        <w:rPr>
          <w:b/>
        </w:rPr>
      </w:pPr>
    </w:p>
    <w:p w:rsidR="007007A0" w:rsidRDefault="002B743D" w:rsidP="007007A0">
      <w:pPr>
        <w:spacing w:after="0" w:line="240" w:lineRule="auto"/>
        <w:rPr>
          <w:b/>
        </w:rPr>
      </w:pPr>
      <w:r>
        <w:rPr>
          <w:b/>
        </w:rPr>
        <w:t>Preemption</w:t>
      </w:r>
      <w:r w:rsidR="007007A0">
        <w:rPr>
          <w:b/>
        </w:rPr>
        <w:t xml:space="preserve"> </w:t>
      </w:r>
      <w:r w:rsidR="007007A0" w:rsidRPr="0043727E">
        <w:rPr>
          <w:b/>
        </w:rPr>
        <w:t xml:space="preserve">– </w:t>
      </w:r>
      <w:r w:rsidR="007007A0">
        <w:rPr>
          <w:b/>
        </w:rPr>
        <w:t>Dave Schaibley, Tobacco Control Legal Consortium</w:t>
      </w:r>
    </w:p>
    <w:p w:rsidR="007007A0" w:rsidRPr="00114E49" w:rsidRDefault="006E4E29" w:rsidP="007007A0">
      <w:pPr>
        <w:spacing w:after="0" w:line="240" w:lineRule="auto"/>
        <w:rPr>
          <w:i/>
        </w:rPr>
      </w:pPr>
      <w:r>
        <w:rPr>
          <w:i/>
        </w:rPr>
        <w:t>PPT: “POS Webinar 7.26</w:t>
      </w:r>
      <w:r w:rsidR="007007A0" w:rsidRPr="00114E49">
        <w:rPr>
          <w:i/>
        </w:rPr>
        <w:t xml:space="preserve">.11 </w:t>
      </w:r>
      <w:r w:rsidR="002B743D">
        <w:rPr>
          <w:i/>
        </w:rPr>
        <w:t>–</w:t>
      </w:r>
      <w:r w:rsidR="007007A0" w:rsidRPr="00114E49">
        <w:rPr>
          <w:i/>
        </w:rPr>
        <w:t xml:space="preserve"> </w:t>
      </w:r>
      <w:r w:rsidR="002B743D">
        <w:rPr>
          <w:i/>
        </w:rPr>
        <w:t>Critical Concepts at the State and Local Level</w:t>
      </w:r>
      <w:r w:rsidR="007007A0" w:rsidRPr="00114E49">
        <w:rPr>
          <w:i/>
        </w:rPr>
        <w:t>”</w:t>
      </w:r>
    </w:p>
    <w:p w:rsidR="007007A0" w:rsidRPr="00114E49" w:rsidRDefault="002B743D" w:rsidP="007007A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Provide</w:t>
      </w:r>
      <w:r w:rsidR="00C2572D">
        <w:t>d</w:t>
      </w:r>
      <w:r>
        <w:t xml:space="preserve"> an overview of tobacco retailer licensing </w:t>
      </w:r>
      <w:r w:rsidR="0007230A">
        <w:t xml:space="preserve">(TRL) </w:t>
      </w:r>
      <w:r>
        <w:t>and what makes it an effective and viable policy option for tobacco control advocates</w:t>
      </w:r>
    </w:p>
    <w:p w:rsidR="007007A0" w:rsidRPr="00C2572D" w:rsidRDefault="002B743D" w:rsidP="007007A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Discussed the basics of preemption</w:t>
      </w:r>
      <w:r w:rsidR="00C2572D">
        <w:t xml:space="preserve"> and described its practical effects on policy development</w:t>
      </w:r>
    </w:p>
    <w:p w:rsidR="007007A0" w:rsidRPr="00C2572D" w:rsidRDefault="002B743D" w:rsidP="00C2572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C2572D">
        <w:rPr>
          <w:u w:val="single"/>
        </w:rPr>
        <w:t>Preemption</w:t>
      </w:r>
      <w:r w:rsidR="007007A0" w:rsidRPr="00C2572D">
        <w:rPr>
          <w:u w:val="single"/>
        </w:rPr>
        <w:t>:</w:t>
      </w:r>
      <w:r w:rsidR="007007A0">
        <w:t xml:space="preserve"> </w:t>
      </w:r>
      <w:r w:rsidR="001B402B">
        <w:t xml:space="preserve">situation </w:t>
      </w:r>
      <w:r>
        <w:t xml:space="preserve">when </w:t>
      </w:r>
      <w:r w:rsidR="001B402B">
        <w:t xml:space="preserve">a </w:t>
      </w:r>
      <w:r>
        <w:t>hig</w:t>
      </w:r>
      <w:r w:rsidR="00C8228F">
        <w:t>her level of government has law</w:t>
      </w:r>
      <w:r>
        <w:t xml:space="preserve"> that trump</w:t>
      </w:r>
      <w:r w:rsidR="004C2ED6">
        <w:t>s the</w:t>
      </w:r>
      <w:r>
        <w:t xml:space="preserve"> lower level </w:t>
      </w:r>
      <w:r w:rsidR="004C2ED6">
        <w:t>of government’s ability to regulate or pass a law in the same area</w:t>
      </w:r>
    </w:p>
    <w:p w:rsidR="00C2572D" w:rsidRPr="00C2572D" w:rsidRDefault="00C2572D" w:rsidP="00C2572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 Federal law can preempt state legislation on the same issue, and state law can preempt local ordinances </w:t>
      </w:r>
    </w:p>
    <w:p w:rsidR="00C2572D" w:rsidRPr="00C2572D" w:rsidRDefault="00C2572D" w:rsidP="00C2572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Preemption can either be expressively stated in the body of the preemptive law itself, or it can be implied</w:t>
      </w:r>
    </w:p>
    <w:p w:rsidR="00C2572D" w:rsidRPr="001B402B" w:rsidRDefault="00C2572D" w:rsidP="00C257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Provided examples of where preemption can be found, specifically referring to instances in which preemption has played a significant role in smoke-free air efforts</w:t>
      </w:r>
    </w:p>
    <w:p w:rsidR="001B402B" w:rsidRPr="00C2572D" w:rsidRDefault="0007230A" w:rsidP="001B402B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Some s</w:t>
      </w:r>
      <w:r w:rsidR="001B402B">
        <w:t xml:space="preserve">tatewide smoke-free laws establish a </w:t>
      </w:r>
      <w:r w:rsidR="001B402B" w:rsidRPr="0007230A">
        <w:rPr>
          <w:i/>
        </w:rPr>
        <w:t>floor</w:t>
      </w:r>
      <w:r>
        <w:rPr>
          <w:i/>
        </w:rPr>
        <w:t xml:space="preserve"> </w:t>
      </w:r>
      <w:r>
        <w:t xml:space="preserve">of smoking restrictions which can be exceeded by more aggressive local regulations, while others set a </w:t>
      </w:r>
      <w:r>
        <w:rPr>
          <w:i/>
        </w:rPr>
        <w:t xml:space="preserve">ceiling </w:t>
      </w:r>
      <w:r>
        <w:t>of restrictions which localities are not permitted to exceed</w:t>
      </w:r>
    </w:p>
    <w:p w:rsidR="007007A0" w:rsidRDefault="007007A0" w:rsidP="007007A0">
      <w:pPr>
        <w:spacing w:after="0" w:line="240" w:lineRule="auto"/>
        <w:rPr>
          <w:b/>
        </w:rPr>
      </w:pPr>
    </w:p>
    <w:p w:rsidR="00C8228F" w:rsidRDefault="00C8228F" w:rsidP="007007A0">
      <w:pPr>
        <w:spacing w:after="0" w:line="240" w:lineRule="auto"/>
        <w:rPr>
          <w:b/>
        </w:rPr>
      </w:pPr>
    </w:p>
    <w:p w:rsidR="007007A0" w:rsidRDefault="00C2572D" w:rsidP="007007A0">
      <w:pPr>
        <w:spacing w:after="0" w:line="240" w:lineRule="auto"/>
        <w:rPr>
          <w:b/>
        </w:rPr>
      </w:pPr>
      <w:r>
        <w:rPr>
          <w:b/>
        </w:rPr>
        <w:t>Preemption</w:t>
      </w:r>
      <w:r w:rsidR="007007A0" w:rsidRPr="0043727E">
        <w:rPr>
          <w:b/>
        </w:rPr>
        <w:t xml:space="preserve"> – </w:t>
      </w:r>
      <w:r w:rsidR="001B402B">
        <w:rPr>
          <w:b/>
        </w:rPr>
        <w:t xml:space="preserve">Alicia </w:t>
      </w:r>
      <w:proofErr w:type="spellStart"/>
      <w:r w:rsidR="001B402B">
        <w:rPr>
          <w:b/>
        </w:rPr>
        <w:t>Lerud</w:t>
      </w:r>
      <w:proofErr w:type="spellEnd"/>
      <w:r w:rsidR="001B402B">
        <w:rPr>
          <w:b/>
        </w:rPr>
        <w:t>, Nevada</w:t>
      </w:r>
      <w:r>
        <w:rPr>
          <w:b/>
        </w:rPr>
        <w:t xml:space="preserve"> Office of the Attorney General</w:t>
      </w:r>
    </w:p>
    <w:p w:rsidR="007007A0" w:rsidRPr="00114E49" w:rsidRDefault="006E4E29" w:rsidP="007007A0">
      <w:pPr>
        <w:spacing w:after="0" w:line="240" w:lineRule="auto"/>
        <w:rPr>
          <w:i/>
        </w:rPr>
      </w:pPr>
      <w:r>
        <w:rPr>
          <w:i/>
        </w:rPr>
        <w:t>PPT: “POS Webinar 7.26</w:t>
      </w:r>
      <w:r w:rsidR="007007A0" w:rsidRPr="00114E49">
        <w:rPr>
          <w:i/>
        </w:rPr>
        <w:t xml:space="preserve">.11 </w:t>
      </w:r>
      <w:r w:rsidR="007007A0">
        <w:rPr>
          <w:i/>
        </w:rPr>
        <w:t>–</w:t>
      </w:r>
      <w:r w:rsidR="007007A0" w:rsidRPr="00114E49">
        <w:rPr>
          <w:i/>
        </w:rPr>
        <w:t xml:space="preserve"> </w:t>
      </w:r>
      <w:r w:rsidR="00C2572D">
        <w:rPr>
          <w:i/>
        </w:rPr>
        <w:t>Critical Concepts at the State and Local Level</w:t>
      </w:r>
      <w:r w:rsidR="007007A0" w:rsidRPr="00114E49">
        <w:rPr>
          <w:i/>
        </w:rPr>
        <w:t>”</w:t>
      </w:r>
    </w:p>
    <w:p w:rsidR="007007A0" w:rsidRPr="0007230A" w:rsidRDefault="00C2572D" w:rsidP="007007A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Presented on the specifics of Nevada’s tobacco retailer licensing law</w:t>
      </w:r>
      <w:r w:rsidR="0007230A">
        <w:t xml:space="preserve"> (NRS</w:t>
      </w:r>
      <w:r w:rsidR="001E13AD">
        <w:t xml:space="preserve"> </w:t>
      </w:r>
      <w:r w:rsidR="0007230A">
        <w:t>370)</w:t>
      </w:r>
    </w:p>
    <w:p w:rsidR="007007A0" w:rsidRPr="0007230A" w:rsidRDefault="0007230A" w:rsidP="0007230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Law</w:t>
      </w:r>
      <w:r w:rsidR="006E4E29">
        <w:t xml:space="preserve"> </w:t>
      </w:r>
      <w:r w:rsidR="00C2572D">
        <w:t xml:space="preserve">is relatively weak </w:t>
      </w:r>
      <w:r w:rsidR="006E4E29">
        <w:t>and does not require retailers to pay a licensing fee</w:t>
      </w:r>
    </w:p>
    <w:p w:rsidR="0007230A" w:rsidRPr="0007230A" w:rsidRDefault="0007230A" w:rsidP="0007230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Annual application – enables state to keep hold on who’s in business</w:t>
      </w:r>
    </w:p>
    <w:p w:rsidR="006E4E29" w:rsidRPr="0007230A" w:rsidRDefault="006E4E29" w:rsidP="0007230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Law is expressively non-preemptive and it clearly invites further local licensing requirements around Nevada</w:t>
      </w:r>
    </w:p>
    <w:p w:rsidR="0007230A" w:rsidRPr="0007230A" w:rsidRDefault="0007230A" w:rsidP="0007230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Provided 2 examples of Nevada local governments enacting licensing provisions that exceed the requirements of the state licensing law</w:t>
      </w:r>
    </w:p>
    <w:p w:rsidR="0007230A" w:rsidRPr="0007230A" w:rsidRDefault="0007230A" w:rsidP="0007230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Mesquite City passed an ordinance requiring a local tobacco retail license w/ a $100 fee</w:t>
      </w:r>
    </w:p>
    <w:p w:rsidR="0007230A" w:rsidRPr="0007230A" w:rsidRDefault="0007230A" w:rsidP="0007230A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Lincoln County requires tobacco shops to be in completely enclosed buildings</w:t>
      </w:r>
    </w:p>
    <w:p w:rsidR="00C9143F" w:rsidRDefault="00C9143F"/>
    <w:p w:rsidR="00C8228F" w:rsidRDefault="00C8228F" w:rsidP="006F4D48">
      <w:pPr>
        <w:spacing w:after="0" w:line="240" w:lineRule="auto"/>
        <w:rPr>
          <w:b/>
        </w:rPr>
      </w:pPr>
    </w:p>
    <w:p w:rsidR="006E4E29" w:rsidRDefault="006E4E29" w:rsidP="006F4D48">
      <w:pPr>
        <w:spacing w:after="0" w:line="240" w:lineRule="auto"/>
        <w:rPr>
          <w:b/>
        </w:rPr>
      </w:pPr>
      <w:r>
        <w:rPr>
          <w:b/>
        </w:rPr>
        <w:lastRenderedPageBreak/>
        <w:t xml:space="preserve">State and Local Interaction </w:t>
      </w:r>
      <w:r w:rsidRPr="0043727E">
        <w:rPr>
          <w:b/>
        </w:rPr>
        <w:t xml:space="preserve">– </w:t>
      </w:r>
      <w:r>
        <w:rPr>
          <w:b/>
        </w:rPr>
        <w:t>Maggie Mahoney, Tobacco Control Legal Consortium</w:t>
      </w:r>
    </w:p>
    <w:p w:rsidR="006E4E29" w:rsidRPr="00114E49" w:rsidRDefault="006E4E29" w:rsidP="006F4D48">
      <w:pPr>
        <w:spacing w:after="0" w:line="240" w:lineRule="auto"/>
        <w:rPr>
          <w:i/>
        </w:rPr>
      </w:pPr>
      <w:r>
        <w:rPr>
          <w:i/>
        </w:rPr>
        <w:t>PPT: “POS Webinar 7.26</w:t>
      </w:r>
      <w:r w:rsidRPr="00114E49">
        <w:rPr>
          <w:i/>
        </w:rPr>
        <w:t xml:space="preserve">.11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Critical Concepts at the State and Local Level</w:t>
      </w:r>
      <w:r w:rsidRPr="00114E49">
        <w:rPr>
          <w:i/>
        </w:rPr>
        <w:t>”</w:t>
      </w:r>
    </w:p>
    <w:p w:rsidR="006E4E29" w:rsidRDefault="006F4D48" w:rsidP="006F4D48">
      <w:pPr>
        <w:pStyle w:val="ListParagraph"/>
        <w:numPr>
          <w:ilvl w:val="0"/>
          <w:numId w:val="5"/>
        </w:numPr>
        <w:spacing w:line="240" w:lineRule="auto"/>
      </w:pPr>
      <w:r>
        <w:t>Don’t</w:t>
      </w:r>
      <w:r w:rsidR="0007230A">
        <w:t xml:space="preserve"> need to choose between: state and local public health agencies can work together</w:t>
      </w:r>
    </w:p>
    <w:p w:rsidR="006F4D48" w:rsidRDefault="006F4D48" w:rsidP="006F4D48">
      <w:pPr>
        <w:pStyle w:val="ListParagraph"/>
        <w:numPr>
          <w:ilvl w:val="0"/>
          <w:numId w:val="5"/>
        </w:numPr>
        <w:spacing w:line="240" w:lineRule="auto"/>
      </w:pPr>
      <w:r>
        <w:t>State legislation can ensure uniformity of at least minimum requirements, while local ordinances, where not preempted, can result in more aggressive and effective enforcement</w:t>
      </w:r>
    </w:p>
    <w:p w:rsidR="006F4D48" w:rsidRDefault="006F4D48" w:rsidP="006F4D4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Very helpful to tap into local knowledge – local law enforcement and/or public health authorities have </w:t>
      </w:r>
      <w:r w:rsidR="00C8228F">
        <w:t xml:space="preserve">advantage </w:t>
      </w:r>
      <w:r>
        <w:t xml:space="preserve">in carrying out regular inspections, </w:t>
      </w:r>
      <w:r w:rsidR="00C8228F">
        <w:t xml:space="preserve">localities are </w:t>
      </w:r>
      <w:r>
        <w:t>more famili</w:t>
      </w:r>
      <w:r w:rsidR="00C8228F">
        <w:t xml:space="preserve">ar with problems in communities and </w:t>
      </w:r>
      <w:r>
        <w:t xml:space="preserve"> where retailers are located if you want to focus on density or schools, parks, residential neighborhoods, etc.</w:t>
      </w:r>
    </w:p>
    <w:p w:rsidR="006F4D48" w:rsidRDefault="006F4D48" w:rsidP="006F4D48">
      <w:pPr>
        <w:pStyle w:val="ListParagraph"/>
        <w:spacing w:after="0" w:line="240" w:lineRule="auto"/>
      </w:pPr>
    </w:p>
    <w:p w:rsidR="00280DE6" w:rsidRDefault="00280DE6" w:rsidP="006F4D48">
      <w:pPr>
        <w:pStyle w:val="ListParagraph"/>
        <w:spacing w:after="0" w:line="240" w:lineRule="auto"/>
      </w:pPr>
    </w:p>
    <w:p w:rsidR="006E4E29" w:rsidRDefault="006E4E29" w:rsidP="006F4D48">
      <w:pPr>
        <w:spacing w:after="0" w:line="240" w:lineRule="auto"/>
        <w:rPr>
          <w:b/>
        </w:rPr>
      </w:pPr>
      <w:r>
        <w:rPr>
          <w:b/>
        </w:rPr>
        <w:t xml:space="preserve">State and Local Interaction </w:t>
      </w:r>
      <w:r w:rsidRPr="0043727E">
        <w:rPr>
          <w:b/>
        </w:rPr>
        <w:t xml:space="preserve">– </w:t>
      </w:r>
      <w:r>
        <w:rPr>
          <w:b/>
        </w:rPr>
        <w:t>Brent Saron, Harrison County Department of Home and Public Health (IA)</w:t>
      </w:r>
    </w:p>
    <w:p w:rsidR="006E4E29" w:rsidRPr="00114E49" w:rsidRDefault="006E4E29" w:rsidP="006E4E29">
      <w:pPr>
        <w:spacing w:after="0" w:line="240" w:lineRule="auto"/>
        <w:rPr>
          <w:i/>
        </w:rPr>
      </w:pPr>
      <w:r>
        <w:rPr>
          <w:i/>
        </w:rPr>
        <w:t>PPT: “POS Webinar 7.26</w:t>
      </w:r>
      <w:r w:rsidRPr="00114E49">
        <w:rPr>
          <w:i/>
        </w:rPr>
        <w:t xml:space="preserve">.11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Critical Concepts at the State and Local Level</w:t>
      </w:r>
      <w:r w:rsidRPr="00114E49">
        <w:rPr>
          <w:i/>
        </w:rPr>
        <w:t>”</w:t>
      </w:r>
    </w:p>
    <w:p w:rsidR="006E4E29" w:rsidRDefault="006F4D48" w:rsidP="006F4D48">
      <w:pPr>
        <w:pStyle w:val="ListParagraph"/>
        <w:numPr>
          <w:ilvl w:val="0"/>
          <w:numId w:val="5"/>
        </w:numPr>
        <w:spacing w:line="240" w:lineRule="auto"/>
      </w:pPr>
      <w:r>
        <w:t>Iowa takes a unique approach to tobacco retailer licensing, with state law specifically delegating to local governments the authority to issue licenses and share responsibility for enforcing various state requirements</w:t>
      </w:r>
      <w:r w:rsidR="00C8228F">
        <w:t xml:space="preserve"> (Governed by 453A)</w:t>
      </w:r>
    </w:p>
    <w:p w:rsidR="00403DAC" w:rsidRDefault="00403DAC" w:rsidP="00403DAC">
      <w:pPr>
        <w:pStyle w:val="ListParagraph"/>
        <w:numPr>
          <w:ilvl w:val="1"/>
          <w:numId w:val="5"/>
        </w:numPr>
        <w:spacing w:line="240" w:lineRule="auto"/>
      </w:pPr>
      <w:r>
        <w:t>Annual permit issued by state</w:t>
      </w:r>
    </w:p>
    <w:p w:rsidR="00403DAC" w:rsidRDefault="00403DAC" w:rsidP="00403DAC">
      <w:pPr>
        <w:pStyle w:val="ListParagraph"/>
        <w:numPr>
          <w:ilvl w:val="1"/>
          <w:numId w:val="5"/>
        </w:numPr>
        <w:spacing w:line="240" w:lineRule="auto"/>
      </w:pPr>
      <w:r>
        <w:t xml:space="preserve">Paper </w:t>
      </w:r>
      <w:proofErr w:type="spellStart"/>
      <w:r>
        <w:t>pdf</w:t>
      </w:r>
      <w:proofErr w:type="spellEnd"/>
      <w:r>
        <w:t xml:space="preserve"> application emailed to cities and counties </w:t>
      </w:r>
    </w:p>
    <w:p w:rsidR="00403DAC" w:rsidRDefault="00F22ED6" w:rsidP="00403DAC">
      <w:pPr>
        <w:pStyle w:val="ListParagraph"/>
        <w:numPr>
          <w:ilvl w:val="1"/>
          <w:numId w:val="5"/>
        </w:numPr>
        <w:spacing w:line="240" w:lineRule="auto"/>
      </w:pPr>
      <w:r>
        <w:t>Permit issued</w:t>
      </w:r>
      <w:r w:rsidR="00403DAC">
        <w:t xml:space="preserve"> as long as using forms issued by the Iowa Department of Revenue and fees within 453A</w:t>
      </w:r>
    </w:p>
    <w:p w:rsidR="00C8228F" w:rsidRDefault="00C8228F" w:rsidP="00C8228F">
      <w:pPr>
        <w:pStyle w:val="ListParagraph"/>
        <w:numPr>
          <w:ilvl w:val="1"/>
          <w:numId w:val="5"/>
        </w:numPr>
        <w:spacing w:line="240" w:lineRule="auto"/>
      </w:pPr>
      <w:r>
        <w:t>Licensing fees are set by state law but collected and retained by localities with amounts varying between $50 and $100, depending on the local population</w:t>
      </w:r>
    </w:p>
    <w:p w:rsidR="00C8228F" w:rsidRDefault="00C8228F" w:rsidP="00403DAC">
      <w:pPr>
        <w:pStyle w:val="ListParagraph"/>
        <w:numPr>
          <w:ilvl w:val="1"/>
          <w:numId w:val="5"/>
        </w:numPr>
        <w:spacing w:line="240" w:lineRule="auto"/>
      </w:pPr>
      <w:r>
        <w:t>Fees can’t be changed in 453A</w:t>
      </w:r>
    </w:p>
    <w:p w:rsidR="00C8228F" w:rsidRDefault="00C8228F" w:rsidP="00C8228F">
      <w:pPr>
        <w:pStyle w:val="ListParagraph"/>
        <w:numPr>
          <w:ilvl w:val="0"/>
          <w:numId w:val="5"/>
        </w:numPr>
        <w:spacing w:line="240" w:lineRule="auto"/>
      </w:pPr>
      <w:r>
        <w:t>Enforcement of 453A</w:t>
      </w:r>
    </w:p>
    <w:p w:rsidR="00C8228F" w:rsidRDefault="00C8228F" w:rsidP="00280DE6">
      <w:pPr>
        <w:pStyle w:val="ListParagraph"/>
        <w:numPr>
          <w:ilvl w:val="1"/>
          <w:numId w:val="5"/>
        </w:numPr>
        <w:spacing w:line="240" w:lineRule="auto"/>
      </w:pPr>
      <w:r>
        <w:t>Required</w:t>
      </w:r>
      <w:r w:rsidR="00280DE6">
        <w:t xml:space="preserve"> by state law to inspect </w:t>
      </w:r>
      <w:r>
        <w:t>retailer annually</w:t>
      </w:r>
      <w:r w:rsidR="00280DE6">
        <w:t>; i</w:t>
      </w:r>
      <w:r>
        <w:t>f non-compliant, must perform second in</w:t>
      </w:r>
      <w:r w:rsidR="00280DE6">
        <w:t>spection</w:t>
      </w:r>
    </w:p>
    <w:p w:rsidR="006F4D48" w:rsidRDefault="006F4D48" w:rsidP="00280DE6">
      <w:pPr>
        <w:pStyle w:val="ListParagraph"/>
        <w:numPr>
          <w:ilvl w:val="0"/>
          <w:numId w:val="5"/>
        </w:numPr>
        <w:spacing w:after="0" w:line="240" w:lineRule="auto"/>
      </w:pPr>
      <w:r>
        <w:t>Discussed whether localities can exceed licensing requirements established by state law.  A few local governments are currently considering their options, in consultations with TCLC.</w:t>
      </w:r>
    </w:p>
    <w:p w:rsidR="00280DE6" w:rsidRDefault="00280DE6" w:rsidP="00280DE6">
      <w:pPr>
        <w:spacing w:after="0" w:line="240" w:lineRule="auto"/>
        <w:rPr>
          <w:b/>
        </w:rPr>
      </w:pPr>
    </w:p>
    <w:p w:rsidR="00280DE6" w:rsidRDefault="00280DE6" w:rsidP="00280DE6">
      <w:pPr>
        <w:spacing w:after="0" w:line="240" w:lineRule="auto"/>
        <w:rPr>
          <w:b/>
        </w:rPr>
      </w:pPr>
    </w:p>
    <w:p w:rsidR="006E4E29" w:rsidRDefault="006E4E29" w:rsidP="00280DE6">
      <w:pPr>
        <w:spacing w:after="0" w:line="240" w:lineRule="auto"/>
        <w:rPr>
          <w:b/>
        </w:rPr>
      </w:pPr>
      <w:r>
        <w:rPr>
          <w:b/>
        </w:rPr>
        <w:t xml:space="preserve">Setting Fees </w:t>
      </w:r>
      <w:r w:rsidRPr="0043727E">
        <w:rPr>
          <w:b/>
        </w:rPr>
        <w:t xml:space="preserve">– </w:t>
      </w:r>
      <w:r>
        <w:rPr>
          <w:b/>
        </w:rPr>
        <w:t>Ian McLaughlin, Public Health Law &amp; Policy</w:t>
      </w:r>
    </w:p>
    <w:p w:rsidR="006E4E29" w:rsidRPr="00114E49" w:rsidRDefault="006E4E29" w:rsidP="006E4E29">
      <w:pPr>
        <w:spacing w:after="0" w:line="240" w:lineRule="auto"/>
        <w:rPr>
          <w:i/>
        </w:rPr>
      </w:pPr>
      <w:r>
        <w:rPr>
          <w:i/>
        </w:rPr>
        <w:t>PPT: “POS Webinar 7.26</w:t>
      </w:r>
      <w:r w:rsidRPr="00114E49">
        <w:rPr>
          <w:i/>
        </w:rPr>
        <w:t xml:space="preserve">.11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Setting Fees (Ian McLaughlin)</w:t>
      </w:r>
      <w:r w:rsidRPr="00114E49">
        <w:rPr>
          <w:i/>
        </w:rPr>
        <w:t>”</w:t>
      </w:r>
    </w:p>
    <w:p w:rsidR="006E4E29" w:rsidRDefault="00280DE6" w:rsidP="00403DAC">
      <w:pPr>
        <w:pStyle w:val="ListParagraph"/>
        <w:numPr>
          <w:ilvl w:val="0"/>
          <w:numId w:val="5"/>
        </w:numPr>
        <w:spacing w:line="240" w:lineRule="auto"/>
      </w:pPr>
      <w:r>
        <w:t>Discussed fundamental aspects of</w:t>
      </w:r>
      <w:r w:rsidR="00403DAC">
        <w:t xml:space="preserve"> regulatory fees in general, distinguishing fees from taxes</w:t>
      </w:r>
      <w:r>
        <w:t>,</w:t>
      </w:r>
      <w:r w:rsidR="00403DAC">
        <w:t xml:space="preserve"> and stating that fees are charged to businesses in order to pay for costs associated with the enforcement of government regulations</w:t>
      </w:r>
    </w:p>
    <w:p w:rsidR="00403DAC" w:rsidRDefault="00280DE6" w:rsidP="00403DAC">
      <w:pPr>
        <w:pStyle w:val="ListParagraph"/>
        <w:numPr>
          <w:ilvl w:val="0"/>
          <w:numId w:val="5"/>
        </w:numPr>
        <w:spacing w:line="240" w:lineRule="auto"/>
      </w:pPr>
      <w:r>
        <w:t>Enforcing licensing scheme costs money so Public Health Law &amp; Policy developed tool to assess how much it will cost</w:t>
      </w:r>
    </w:p>
    <w:p w:rsidR="00403DAC" w:rsidRDefault="00280DE6" w:rsidP="00403DAC">
      <w:pPr>
        <w:pStyle w:val="ListParagraph"/>
        <w:numPr>
          <w:ilvl w:val="0"/>
          <w:numId w:val="5"/>
        </w:numPr>
        <w:spacing w:line="240" w:lineRule="auto"/>
      </w:pPr>
      <w:r>
        <w:t>Tool</w:t>
      </w:r>
      <w:r w:rsidR="00403DAC">
        <w:t xml:space="preserve"> helps loca</w:t>
      </w:r>
      <w:r>
        <w:t>l governments and advocates cal</w:t>
      </w:r>
      <w:r w:rsidR="00403DAC">
        <w:t>culate a reasonable fee level based on the administrative and enforcement costs involved in implementation o</w:t>
      </w:r>
      <w:r>
        <w:t>f a local retailer licensing sch</w:t>
      </w:r>
      <w:r w:rsidR="00403DAC">
        <w:t>eme</w:t>
      </w:r>
    </w:p>
    <w:p w:rsidR="00403DAC" w:rsidRDefault="00403DAC" w:rsidP="00280DE6">
      <w:pPr>
        <w:pStyle w:val="ListParagraph"/>
        <w:numPr>
          <w:ilvl w:val="0"/>
          <w:numId w:val="5"/>
        </w:numPr>
        <w:spacing w:after="0" w:line="240" w:lineRule="auto"/>
      </w:pPr>
      <w:r>
        <w:t>Tool has been used across California where there is a very high level of local policy advocacy and development on retailer licensing</w:t>
      </w:r>
    </w:p>
    <w:p w:rsidR="006E4E29" w:rsidRDefault="006E4E29" w:rsidP="00280DE6">
      <w:pPr>
        <w:spacing w:after="0"/>
      </w:pPr>
    </w:p>
    <w:p w:rsidR="006E4E29" w:rsidRDefault="006E4E29" w:rsidP="00280DE6">
      <w:pPr>
        <w:spacing w:after="0"/>
      </w:pPr>
    </w:p>
    <w:p w:rsidR="006E4E29" w:rsidRDefault="006E4E29" w:rsidP="006E4E29">
      <w:pPr>
        <w:spacing w:after="0" w:line="240" w:lineRule="auto"/>
        <w:rPr>
          <w:b/>
        </w:rPr>
      </w:pPr>
      <w:r>
        <w:rPr>
          <w:b/>
        </w:rPr>
        <w:t xml:space="preserve">Setting Fees </w:t>
      </w:r>
      <w:r w:rsidRPr="0043727E">
        <w:rPr>
          <w:b/>
        </w:rPr>
        <w:t xml:space="preserve">– </w:t>
      </w:r>
      <w:r>
        <w:rPr>
          <w:b/>
        </w:rPr>
        <w:t>Jordan Mathis, Southwest Utah Public Health Department</w:t>
      </w:r>
    </w:p>
    <w:p w:rsidR="006E4E29" w:rsidRPr="00114E49" w:rsidRDefault="006E4E29" w:rsidP="006E4E29">
      <w:pPr>
        <w:spacing w:after="0" w:line="240" w:lineRule="auto"/>
        <w:rPr>
          <w:i/>
        </w:rPr>
      </w:pPr>
      <w:r>
        <w:rPr>
          <w:i/>
        </w:rPr>
        <w:t>PPT: “POS Webinar 7.26</w:t>
      </w:r>
      <w:r w:rsidRPr="00114E49">
        <w:rPr>
          <w:i/>
        </w:rPr>
        <w:t xml:space="preserve">.11 </w:t>
      </w:r>
      <w:r>
        <w:rPr>
          <w:i/>
        </w:rPr>
        <w:t>–</w:t>
      </w:r>
      <w:r w:rsidRPr="00114E49">
        <w:rPr>
          <w:i/>
        </w:rPr>
        <w:t xml:space="preserve"> </w:t>
      </w:r>
      <w:r>
        <w:rPr>
          <w:i/>
        </w:rPr>
        <w:t>Setting Fees (Jordan Mathis)</w:t>
      </w:r>
      <w:r w:rsidRPr="00114E49">
        <w:rPr>
          <w:i/>
        </w:rPr>
        <w:t>”</w:t>
      </w:r>
    </w:p>
    <w:p w:rsidR="006E4E29" w:rsidRDefault="00280DE6" w:rsidP="00280DE6">
      <w:pPr>
        <w:pStyle w:val="ListParagraph"/>
        <w:numPr>
          <w:ilvl w:val="0"/>
          <w:numId w:val="5"/>
        </w:numPr>
        <w:spacing w:line="240" w:lineRule="auto"/>
      </w:pPr>
      <w:r>
        <w:t>Utah has a state licensing requirement with a very modest fee</w:t>
      </w:r>
    </w:p>
    <w:p w:rsidR="00C151FC" w:rsidRDefault="00C151FC" w:rsidP="00C151FC">
      <w:pPr>
        <w:pStyle w:val="ListParagraph"/>
        <w:numPr>
          <w:ilvl w:val="1"/>
          <w:numId w:val="5"/>
        </w:numPr>
        <w:spacing w:line="240" w:lineRule="auto"/>
      </w:pPr>
      <w:r>
        <w:lastRenderedPageBreak/>
        <w:t>Tax Commission issues licenses: $30 fee good for 3 years (no annual fee/application); after first 3 years, re-application fee is $20</w:t>
      </w:r>
    </w:p>
    <w:p w:rsidR="00280DE6" w:rsidRDefault="00280DE6" w:rsidP="00280DE6">
      <w:pPr>
        <w:pStyle w:val="ListParagraph"/>
        <w:numPr>
          <w:ilvl w:val="0"/>
          <w:numId w:val="5"/>
        </w:numPr>
        <w:spacing w:line="240" w:lineRule="auto"/>
      </w:pPr>
      <w:r>
        <w:t>Advocates in local health departments across the state have been looking into the possibility of expanding the role of local authorities in enforcing state regulations</w:t>
      </w:r>
    </w:p>
    <w:p w:rsidR="00280DE6" w:rsidRDefault="00280DE6" w:rsidP="00280DE6">
      <w:pPr>
        <w:pStyle w:val="ListParagraph"/>
        <w:numPr>
          <w:ilvl w:val="0"/>
          <w:numId w:val="5"/>
        </w:numPr>
        <w:spacing w:line="240" w:lineRule="auto"/>
      </w:pPr>
      <w:r>
        <w:t>Challenges include conducting retailer inspections in a vast geographic region that</w:t>
      </w:r>
      <w:r w:rsidR="00C151FC">
        <w:t xml:space="preserve"> is sparsely populated</w:t>
      </w:r>
    </w:p>
    <w:p w:rsidR="00280DE6" w:rsidRDefault="00280DE6" w:rsidP="00280DE6">
      <w:pPr>
        <w:pStyle w:val="ListParagraph"/>
        <w:numPr>
          <w:ilvl w:val="0"/>
          <w:numId w:val="5"/>
        </w:numPr>
        <w:spacing w:after="0" w:line="240" w:lineRule="auto"/>
      </w:pPr>
      <w:r>
        <w:t>Discussed the need for a licensing fee structure that reflects the varying local costs of enforcement, and that can sustain those efforts without the need for other general fund revenues</w:t>
      </w:r>
    </w:p>
    <w:p w:rsidR="006E4E29" w:rsidRDefault="006E4E29" w:rsidP="00280DE6">
      <w:pPr>
        <w:spacing w:after="0"/>
      </w:pPr>
    </w:p>
    <w:p w:rsidR="00280DE6" w:rsidRDefault="00280DE6" w:rsidP="00280DE6">
      <w:pPr>
        <w:spacing w:after="0"/>
      </w:pPr>
    </w:p>
    <w:p w:rsidR="006E4E29" w:rsidRDefault="006E4E29" w:rsidP="00280DE6">
      <w:pPr>
        <w:spacing w:after="0" w:line="240" w:lineRule="auto"/>
        <w:rPr>
          <w:b/>
        </w:rPr>
      </w:pPr>
      <w:r>
        <w:rPr>
          <w:b/>
        </w:rPr>
        <w:t xml:space="preserve">Closing Remarks </w:t>
      </w:r>
      <w:r w:rsidRPr="0043727E">
        <w:rPr>
          <w:b/>
        </w:rPr>
        <w:t xml:space="preserve">– </w:t>
      </w:r>
      <w:r>
        <w:rPr>
          <w:b/>
        </w:rPr>
        <w:t>Jeff Willett, New York Tobacco Control Program</w:t>
      </w:r>
    </w:p>
    <w:p w:rsidR="006E4E29" w:rsidRPr="003955DC" w:rsidRDefault="00280DE6" w:rsidP="006E4E2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Summary of highlights</w:t>
      </w:r>
    </w:p>
    <w:p w:rsidR="006E4E29" w:rsidRDefault="006E4E29" w:rsidP="006E4E29">
      <w:pPr>
        <w:spacing w:line="240" w:lineRule="auto"/>
        <w:rPr>
          <w:b/>
        </w:rPr>
      </w:pPr>
    </w:p>
    <w:p w:rsidR="006E4E29" w:rsidRPr="00414DF6" w:rsidRDefault="006E4E29" w:rsidP="006E4E29">
      <w:pPr>
        <w:spacing w:line="240" w:lineRule="auto"/>
        <w:rPr>
          <w:b/>
        </w:rPr>
      </w:pPr>
      <w:r w:rsidRPr="00414DF6">
        <w:rPr>
          <w:b/>
        </w:rPr>
        <w:t>*** Next POS Webinar</w:t>
      </w:r>
      <w:r w:rsidR="001E13AD">
        <w:rPr>
          <w:b/>
        </w:rPr>
        <w:t>:  Tuesday,</w:t>
      </w:r>
      <w:r w:rsidRPr="00414DF6">
        <w:rPr>
          <w:b/>
        </w:rPr>
        <w:t xml:space="preserve"> </w:t>
      </w:r>
      <w:r w:rsidR="00280DE6">
        <w:rPr>
          <w:b/>
        </w:rPr>
        <w:t>September</w:t>
      </w:r>
      <w:r w:rsidR="001E13AD">
        <w:rPr>
          <w:b/>
        </w:rPr>
        <w:t xml:space="preserve"> 27, 2011 2:00pm – 3:30pm EDT</w:t>
      </w:r>
      <w:r w:rsidRPr="00414DF6">
        <w:rPr>
          <w:b/>
        </w:rPr>
        <w:t>***</w:t>
      </w:r>
    </w:p>
    <w:p w:rsidR="00280DE6" w:rsidRDefault="00280DE6" w:rsidP="006E4E29">
      <w:pPr>
        <w:spacing w:line="240" w:lineRule="auto"/>
        <w:rPr>
          <w:b/>
          <w:u w:val="single"/>
        </w:rPr>
      </w:pPr>
    </w:p>
    <w:p w:rsidR="006E4E29" w:rsidRPr="00414DF6" w:rsidRDefault="006E4E29" w:rsidP="006E4E29">
      <w:pPr>
        <w:spacing w:line="240" w:lineRule="auto"/>
        <w:rPr>
          <w:b/>
          <w:u w:val="single"/>
        </w:rPr>
      </w:pPr>
      <w:r w:rsidRPr="00414DF6">
        <w:rPr>
          <w:b/>
          <w:u w:val="single"/>
        </w:rPr>
        <w:t>Contact Information:</w:t>
      </w:r>
    </w:p>
    <w:p w:rsidR="006E4E29" w:rsidRPr="00C41494" w:rsidRDefault="006E4E29" w:rsidP="006E4E29">
      <w:pPr>
        <w:spacing w:after="0" w:line="240" w:lineRule="auto"/>
      </w:pPr>
      <w:r w:rsidRPr="00C41494">
        <w:rPr>
          <w:b/>
          <w:bCs/>
        </w:rPr>
        <w:t>Jerry Spegman</w:t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  <w:t>Jeff Willett</w:t>
      </w:r>
    </w:p>
    <w:p w:rsidR="006E4E29" w:rsidRPr="00C41494" w:rsidRDefault="006E4E29" w:rsidP="006E4E29">
      <w:pPr>
        <w:spacing w:after="0" w:line="240" w:lineRule="auto"/>
      </w:pPr>
      <w:r>
        <w:rPr>
          <w:i/>
          <w:iCs/>
        </w:rPr>
        <w:t>CDC/</w:t>
      </w:r>
      <w:r w:rsidRPr="00C41494">
        <w:rPr>
          <w:i/>
          <w:iCs/>
        </w:rPr>
        <w:t>Office on Smoking and Health</w:t>
      </w:r>
      <w:r w:rsidR="00280DE6">
        <w:rPr>
          <w:i/>
          <w:iCs/>
        </w:rPr>
        <w:tab/>
      </w:r>
      <w:r w:rsidR="00280DE6">
        <w:rPr>
          <w:i/>
          <w:iCs/>
        </w:rPr>
        <w:tab/>
      </w:r>
      <w:r w:rsidR="00280DE6">
        <w:rPr>
          <w:i/>
          <w:iCs/>
        </w:rPr>
        <w:tab/>
      </w:r>
      <w:r w:rsidR="00280DE6" w:rsidRPr="00C41494">
        <w:rPr>
          <w:i/>
          <w:iCs/>
        </w:rPr>
        <w:t>New York Tobacco Control Program</w:t>
      </w:r>
    </w:p>
    <w:p w:rsidR="006E4E29" w:rsidRPr="00280DE6" w:rsidRDefault="00A5198C" w:rsidP="006E4E29">
      <w:pPr>
        <w:spacing w:after="0" w:line="240" w:lineRule="auto"/>
      </w:pPr>
      <w:hyperlink r:id="rId6" w:history="1">
        <w:r w:rsidR="006E4E29" w:rsidRPr="00EF33B1">
          <w:rPr>
            <w:rStyle w:val="Hyperlink"/>
            <w:i/>
            <w:iCs/>
          </w:rPr>
          <w:t>vfq4@cdc.gov</w:t>
        </w:r>
      </w:hyperlink>
      <w:r w:rsidR="00280DE6">
        <w:tab/>
      </w:r>
      <w:r w:rsidR="00280DE6">
        <w:tab/>
      </w:r>
      <w:r w:rsidR="00280DE6">
        <w:tab/>
      </w:r>
      <w:r w:rsidR="00280DE6">
        <w:tab/>
      </w:r>
      <w:r w:rsidR="00280DE6">
        <w:tab/>
      </w:r>
      <w:r w:rsidR="00280DE6">
        <w:tab/>
      </w:r>
      <w:hyperlink r:id="rId7" w:history="1">
        <w:r w:rsidR="00280DE6" w:rsidRPr="00EF33B1">
          <w:rPr>
            <w:rStyle w:val="Hyperlink"/>
            <w:i/>
            <w:iCs/>
          </w:rPr>
          <w:t>jgw06@health.state.ny.us</w:t>
        </w:r>
      </w:hyperlink>
    </w:p>
    <w:p w:rsidR="006E4E29" w:rsidRPr="00C41494" w:rsidRDefault="006E4E29" w:rsidP="006E4E29">
      <w:pPr>
        <w:spacing w:after="0" w:line="240" w:lineRule="auto"/>
      </w:pPr>
      <w:r w:rsidRPr="00C41494">
        <w:br/>
      </w:r>
      <w:r w:rsidRPr="00C41494">
        <w:rPr>
          <w:b/>
          <w:bCs/>
        </w:rPr>
        <w:t xml:space="preserve">David Schaibley </w:t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</w:r>
      <w:r w:rsidR="00280DE6">
        <w:rPr>
          <w:b/>
          <w:bCs/>
        </w:rPr>
        <w:tab/>
        <w:t>Asha Hill</w:t>
      </w:r>
    </w:p>
    <w:p w:rsidR="006E4E29" w:rsidRPr="00C41494" w:rsidRDefault="006E4E29" w:rsidP="006E4E29">
      <w:pPr>
        <w:spacing w:after="0" w:line="240" w:lineRule="auto"/>
      </w:pPr>
      <w:r w:rsidRPr="00C41494">
        <w:rPr>
          <w:i/>
          <w:iCs/>
        </w:rPr>
        <w:t>Tobacco Control Legal Consortium</w:t>
      </w:r>
      <w:r w:rsidR="00280DE6">
        <w:rPr>
          <w:i/>
          <w:iCs/>
        </w:rPr>
        <w:tab/>
      </w:r>
      <w:r w:rsidR="00280DE6">
        <w:rPr>
          <w:i/>
          <w:iCs/>
        </w:rPr>
        <w:tab/>
      </w:r>
      <w:r w:rsidR="00280DE6">
        <w:rPr>
          <w:i/>
          <w:iCs/>
        </w:rPr>
        <w:tab/>
        <w:t>CDC/Office on Smoking and Health</w:t>
      </w:r>
      <w:r w:rsidR="00280DE6">
        <w:rPr>
          <w:i/>
          <w:iCs/>
        </w:rPr>
        <w:tab/>
      </w:r>
    </w:p>
    <w:p w:rsidR="006E4E29" w:rsidRPr="00280DE6" w:rsidRDefault="00A5198C" w:rsidP="006E4E29">
      <w:pPr>
        <w:spacing w:after="0" w:line="240" w:lineRule="auto"/>
        <w:rPr>
          <w:i/>
        </w:rPr>
      </w:pPr>
      <w:hyperlink r:id="rId8" w:history="1">
        <w:r w:rsidR="006E4E29" w:rsidRPr="0070212D">
          <w:rPr>
            <w:rStyle w:val="Hyperlink"/>
            <w:i/>
            <w:iCs/>
          </w:rPr>
          <w:t>David.Schaibley@wmitchell.edu</w:t>
        </w:r>
      </w:hyperlink>
      <w:r w:rsidR="00280DE6">
        <w:tab/>
      </w:r>
      <w:r w:rsidR="00280DE6">
        <w:tab/>
      </w:r>
      <w:r w:rsidR="00280DE6">
        <w:tab/>
      </w:r>
      <w:r w:rsidR="00280DE6">
        <w:tab/>
      </w:r>
      <w:hyperlink r:id="rId9" w:history="1">
        <w:r w:rsidR="00280DE6" w:rsidRPr="00A63CA2">
          <w:rPr>
            <w:rStyle w:val="Hyperlink"/>
            <w:i/>
          </w:rPr>
          <w:t>vfq3@cdc.gov</w:t>
        </w:r>
      </w:hyperlink>
    </w:p>
    <w:p w:rsidR="006E4E29" w:rsidRDefault="006E4E29" w:rsidP="006E4E29">
      <w:pPr>
        <w:spacing w:after="0" w:line="240" w:lineRule="auto"/>
        <w:rPr>
          <w:b/>
          <w:bCs/>
        </w:rPr>
      </w:pPr>
    </w:p>
    <w:p w:rsidR="006E4E29" w:rsidRPr="00C41494" w:rsidRDefault="006E4E29" w:rsidP="006E4E29">
      <w:pPr>
        <w:spacing w:after="0" w:line="240" w:lineRule="auto"/>
      </w:pPr>
      <w:r>
        <w:rPr>
          <w:b/>
          <w:bCs/>
        </w:rPr>
        <w:t xml:space="preserve">Alicia </w:t>
      </w:r>
      <w:proofErr w:type="spellStart"/>
      <w:r>
        <w:rPr>
          <w:b/>
          <w:bCs/>
        </w:rPr>
        <w:t>Lerud</w:t>
      </w:r>
      <w:proofErr w:type="spellEnd"/>
    </w:p>
    <w:p w:rsidR="006E4E29" w:rsidRPr="00C41494" w:rsidRDefault="006E4E29" w:rsidP="006E4E29">
      <w:pPr>
        <w:spacing w:after="0" w:line="240" w:lineRule="auto"/>
      </w:pPr>
      <w:r>
        <w:rPr>
          <w:i/>
          <w:iCs/>
        </w:rPr>
        <w:t>Nevada Office of the Attorney General</w:t>
      </w:r>
    </w:p>
    <w:p w:rsidR="006E4E29" w:rsidRDefault="00A5198C" w:rsidP="006E4E29">
      <w:pPr>
        <w:spacing w:after="0" w:line="240" w:lineRule="auto"/>
        <w:rPr>
          <w:i/>
          <w:iCs/>
        </w:rPr>
      </w:pPr>
      <w:hyperlink r:id="rId10" w:history="1">
        <w:r w:rsidR="006E4E29" w:rsidRPr="00A63CA2">
          <w:rPr>
            <w:rStyle w:val="Hyperlink"/>
            <w:i/>
            <w:iCs/>
          </w:rPr>
          <w:t>ALerud@ag.nv.gov</w:t>
        </w:r>
      </w:hyperlink>
    </w:p>
    <w:p w:rsidR="006E4E29" w:rsidRPr="006E4E29" w:rsidRDefault="006E4E29" w:rsidP="006E4E29">
      <w:pPr>
        <w:spacing w:after="0" w:line="240" w:lineRule="auto"/>
        <w:rPr>
          <w:i/>
          <w:iCs/>
        </w:rPr>
      </w:pPr>
    </w:p>
    <w:p w:rsidR="006E4E29" w:rsidRPr="00C41494" w:rsidRDefault="006E4E29" w:rsidP="006E4E29">
      <w:pPr>
        <w:spacing w:after="0" w:line="240" w:lineRule="auto"/>
      </w:pPr>
      <w:r>
        <w:rPr>
          <w:b/>
          <w:bCs/>
        </w:rPr>
        <w:t>Maggie Mahoney</w:t>
      </w:r>
    </w:p>
    <w:p w:rsidR="006E4E29" w:rsidRPr="00C41494" w:rsidRDefault="006E4E29" w:rsidP="006E4E29">
      <w:pPr>
        <w:spacing w:after="0" w:line="240" w:lineRule="auto"/>
      </w:pPr>
      <w:r>
        <w:rPr>
          <w:i/>
          <w:iCs/>
        </w:rPr>
        <w:t>Tobacco Control Legal Consortium</w:t>
      </w:r>
    </w:p>
    <w:p w:rsidR="006E4E29" w:rsidRDefault="00A5198C" w:rsidP="006E4E29">
      <w:pPr>
        <w:spacing w:after="0" w:line="240" w:lineRule="auto"/>
        <w:rPr>
          <w:i/>
          <w:iCs/>
        </w:rPr>
      </w:pPr>
      <w:hyperlink r:id="rId11" w:history="1">
        <w:r w:rsidR="006E4E29" w:rsidRPr="00A63CA2">
          <w:rPr>
            <w:rStyle w:val="Hyperlink"/>
            <w:i/>
            <w:iCs/>
          </w:rPr>
          <w:t>Maggie.Mahoney@wmitchell.edu</w:t>
        </w:r>
      </w:hyperlink>
    </w:p>
    <w:p w:rsidR="006E4E29" w:rsidRPr="00C41494" w:rsidRDefault="006E4E29" w:rsidP="006E4E29">
      <w:pPr>
        <w:spacing w:after="0" w:line="240" w:lineRule="auto"/>
      </w:pPr>
    </w:p>
    <w:p w:rsidR="006E4E29" w:rsidRPr="00C41494" w:rsidRDefault="006E4E29" w:rsidP="006E4E29">
      <w:pPr>
        <w:spacing w:after="0" w:line="240" w:lineRule="auto"/>
      </w:pPr>
      <w:r>
        <w:rPr>
          <w:b/>
          <w:bCs/>
        </w:rPr>
        <w:t>Brent Saron</w:t>
      </w:r>
    </w:p>
    <w:p w:rsidR="006E4E29" w:rsidRPr="00C41494" w:rsidRDefault="006E4E29" w:rsidP="006E4E29">
      <w:pPr>
        <w:spacing w:after="0" w:line="240" w:lineRule="auto"/>
      </w:pPr>
      <w:r>
        <w:rPr>
          <w:i/>
          <w:iCs/>
        </w:rPr>
        <w:t>Harrison County Department of Home and Public Health, Iowa</w:t>
      </w:r>
    </w:p>
    <w:p w:rsidR="004C2ED6" w:rsidRDefault="00A5198C" w:rsidP="004C2ED6">
      <w:pPr>
        <w:spacing w:after="0" w:line="240" w:lineRule="auto"/>
        <w:rPr>
          <w:i/>
          <w:iCs/>
        </w:rPr>
      </w:pPr>
      <w:hyperlink r:id="rId12" w:history="1">
        <w:r w:rsidR="004C2ED6" w:rsidRPr="00A63CA2">
          <w:rPr>
            <w:rStyle w:val="Hyperlink"/>
            <w:i/>
            <w:iCs/>
          </w:rPr>
          <w:t>BSaron@harrisoncountyia.org</w:t>
        </w:r>
      </w:hyperlink>
    </w:p>
    <w:p w:rsidR="004C2ED6" w:rsidRPr="004C2ED6" w:rsidRDefault="004C2ED6" w:rsidP="004C2ED6">
      <w:pPr>
        <w:spacing w:after="0" w:line="240" w:lineRule="auto"/>
      </w:pPr>
    </w:p>
    <w:p w:rsidR="006E4E29" w:rsidRPr="00C41494" w:rsidRDefault="004C2ED6" w:rsidP="006E4E29">
      <w:pPr>
        <w:spacing w:after="0" w:line="240" w:lineRule="auto"/>
      </w:pPr>
      <w:r>
        <w:rPr>
          <w:b/>
          <w:bCs/>
        </w:rPr>
        <w:t>Ian McLaughlin</w:t>
      </w:r>
    </w:p>
    <w:p w:rsidR="006E4E29" w:rsidRDefault="004C2ED6" w:rsidP="006E4E29">
      <w:pPr>
        <w:spacing w:after="0" w:line="240" w:lineRule="auto"/>
        <w:rPr>
          <w:i/>
          <w:iCs/>
        </w:rPr>
      </w:pPr>
      <w:r>
        <w:rPr>
          <w:i/>
          <w:iCs/>
        </w:rPr>
        <w:t>Public Health Law &amp; Policy</w:t>
      </w:r>
    </w:p>
    <w:p w:rsidR="00B4281C" w:rsidRDefault="00A5198C" w:rsidP="006E4E29">
      <w:pPr>
        <w:spacing w:after="0" w:line="240" w:lineRule="auto"/>
        <w:rPr>
          <w:i/>
          <w:iCs/>
        </w:rPr>
      </w:pPr>
      <w:hyperlink r:id="rId13" w:history="1">
        <w:r w:rsidR="00B4281C" w:rsidRPr="00A504F0">
          <w:rPr>
            <w:rStyle w:val="Hyperlink"/>
            <w:i/>
            <w:iCs/>
          </w:rPr>
          <w:t>imclaughlin@phlpnet.org</w:t>
        </w:r>
      </w:hyperlink>
    </w:p>
    <w:p w:rsidR="004C2ED6" w:rsidRDefault="004C2ED6" w:rsidP="006E4E29">
      <w:pPr>
        <w:spacing w:after="0" w:line="240" w:lineRule="auto"/>
        <w:rPr>
          <w:i/>
          <w:iCs/>
        </w:rPr>
      </w:pPr>
    </w:p>
    <w:p w:rsidR="006E4E29" w:rsidRDefault="004C2ED6" w:rsidP="006E4E29">
      <w:pPr>
        <w:spacing w:after="0" w:line="240" w:lineRule="auto"/>
        <w:rPr>
          <w:b/>
          <w:iCs/>
        </w:rPr>
      </w:pPr>
      <w:r>
        <w:rPr>
          <w:b/>
          <w:iCs/>
        </w:rPr>
        <w:t>Jordan Mathis</w:t>
      </w:r>
    </w:p>
    <w:p w:rsidR="006E4E29" w:rsidRPr="00C41494" w:rsidRDefault="004C2ED6" w:rsidP="006E4E29">
      <w:pPr>
        <w:spacing w:after="0" w:line="240" w:lineRule="auto"/>
      </w:pPr>
      <w:r>
        <w:rPr>
          <w:i/>
          <w:iCs/>
        </w:rPr>
        <w:t>Southwest Utah Public Health Department</w:t>
      </w:r>
    </w:p>
    <w:p w:rsidR="004C2ED6" w:rsidRDefault="00A5198C" w:rsidP="004C2ED6">
      <w:pPr>
        <w:spacing w:after="0" w:line="240" w:lineRule="auto"/>
        <w:rPr>
          <w:i/>
          <w:iCs/>
        </w:rPr>
      </w:pPr>
      <w:hyperlink r:id="rId14" w:history="1">
        <w:r w:rsidR="004C2ED6" w:rsidRPr="00A63CA2">
          <w:rPr>
            <w:rStyle w:val="Hyperlink"/>
            <w:i/>
            <w:iCs/>
          </w:rPr>
          <w:t>jordanmathis@utah.gov</w:t>
        </w:r>
      </w:hyperlink>
    </w:p>
    <w:sectPr w:rsidR="004C2ED6" w:rsidSect="00C9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E97"/>
    <w:multiLevelType w:val="hybridMultilevel"/>
    <w:tmpl w:val="3A9C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2B76"/>
    <w:multiLevelType w:val="hybridMultilevel"/>
    <w:tmpl w:val="C6C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279"/>
    <w:multiLevelType w:val="hybridMultilevel"/>
    <w:tmpl w:val="970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7A31"/>
    <w:multiLevelType w:val="hybridMultilevel"/>
    <w:tmpl w:val="E10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71C16"/>
    <w:multiLevelType w:val="hybridMultilevel"/>
    <w:tmpl w:val="51C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F68E3"/>
    <w:multiLevelType w:val="hybridMultilevel"/>
    <w:tmpl w:val="CC3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A2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C49F6"/>
    <w:multiLevelType w:val="hybridMultilevel"/>
    <w:tmpl w:val="422C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A0"/>
    <w:rsid w:val="0007230A"/>
    <w:rsid w:val="001B402B"/>
    <w:rsid w:val="001E13AD"/>
    <w:rsid w:val="00280DE6"/>
    <w:rsid w:val="002B743D"/>
    <w:rsid w:val="00403DAC"/>
    <w:rsid w:val="004C2ED6"/>
    <w:rsid w:val="006E4E29"/>
    <w:rsid w:val="006F4D48"/>
    <w:rsid w:val="007007A0"/>
    <w:rsid w:val="00A5198C"/>
    <w:rsid w:val="00A70637"/>
    <w:rsid w:val="00B4281C"/>
    <w:rsid w:val="00C151FC"/>
    <w:rsid w:val="00C2572D"/>
    <w:rsid w:val="00C8228F"/>
    <w:rsid w:val="00C9143F"/>
    <w:rsid w:val="00F2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chaibley@wmitchell.edu" TargetMode="External"/><Relationship Id="rId13" Type="http://schemas.openxmlformats.org/officeDocument/2006/relationships/hyperlink" Target="mailto:imclaughlin@phlp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w06@health.state.ny.us" TargetMode="External"/><Relationship Id="rId12" Type="http://schemas.openxmlformats.org/officeDocument/2006/relationships/hyperlink" Target="mailto:BSaron@harrisoncountyi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fq4@cdc.gov" TargetMode="External"/><Relationship Id="rId11" Type="http://schemas.openxmlformats.org/officeDocument/2006/relationships/hyperlink" Target="mailto:Maggie.Mahoney@wmitchell.edu" TargetMode="External"/><Relationship Id="rId5" Type="http://schemas.openxmlformats.org/officeDocument/2006/relationships/hyperlink" Target="http://www.countertobacc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rud@ag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fq3@cdc.gov" TargetMode="External"/><Relationship Id="rId14" Type="http://schemas.openxmlformats.org/officeDocument/2006/relationships/hyperlink" Target="mailto:jordanmathis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Centers for Disease Control &amp; Prevention</cp:lastModifiedBy>
  <cp:revision>6</cp:revision>
  <dcterms:created xsi:type="dcterms:W3CDTF">2011-08-09T15:15:00Z</dcterms:created>
  <dcterms:modified xsi:type="dcterms:W3CDTF">2011-08-11T13:45:00Z</dcterms:modified>
</cp:coreProperties>
</file>